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80EA1" w:rsidRPr="00280EA1" w:rsidTr="00280EA1">
        <w:tc>
          <w:tcPr>
            <w:tcW w:w="7393" w:type="dxa"/>
          </w:tcPr>
          <w:p w:rsidR="00280EA1" w:rsidRDefault="00280EA1" w:rsidP="0020545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</w:tc>
        <w:tc>
          <w:tcPr>
            <w:tcW w:w="7393" w:type="dxa"/>
          </w:tcPr>
          <w:p w:rsidR="00280EA1" w:rsidRPr="00280EA1" w:rsidRDefault="00280EA1" w:rsidP="00280EA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80EA1">
              <w:rPr>
                <w:rFonts w:ascii="Times New Roman" w:hAnsi="Times New Roman" w:cs="Times New Roman"/>
                <w:b w:val="0"/>
                <w:color w:val="auto"/>
              </w:rPr>
              <w:t>Утверждаю:</w:t>
            </w:r>
          </w:p>
          <w:p w:rsidR="00280EA1" w:rsidRPr="00280EA1" w:rsidRDefault="00280EA1" w:rsidP="0028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A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Управления финансов Сямженского муниципального округа </w:t>
            </w:r>
          </w:p>
          <w:p w:rsidR="00280EA1" w:rsidRPr="00280EA1" w:rsidRDefault="00280EA1" w:rsidP="0028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A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</w:t>
            </w:r>
            <w:proofErr w:type="spellStart"/>
            <w:r w:rsidRPr="00280EA1">
              <w:rPr>
                <w:rFonts w:ascii="Times New Roman" w:hAnsi="Times New Roman" w:cs="Times New Roman"/>
                <w:sz w:val="28"/>
                <w:szCs w:val="28"/>
              </w:rPr>
              <w:t>Н.Н.Самохвалова</w:t>
            </w:r>
            <w:proofErr w:type="spellEnd"/>
          </w:p>
        </w:tc>
      </w:tr>
    </w:tbl>
    <w:p w:rsidR="00280EA1" w:rsidRPr="00280EA1" w:rsidRDefault="00280EA1" w:rsidP="002054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280EA1" w:rsidRPr="00280EA1" w:rsidRDefault="00280EA1" w:rsidP="002054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280EA1" w:rsidRPr="00280EA1" w:rsidRDefault="00280EA1" w:rsidP="002054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205457" w:rsidRDefault="00B32883" w:rsidP="002054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05457">
        <w:rPr>
          <w:rFonts w:ascii="Times New Roman" w:hAnsi="Times New Roman" w:cs="Times New Roman"/>
          <w:b w:val="0"/>
          <w:color w:val="auto"/>
        </w:rPr>
        <w:t xml:space="preserve">ОТЧЕТ </w:t>
      </w:r>
    </w:p>
    <w:p w:rsidR="00C10103" w:rsidRPr="00205457" w:rsidRDefault="00B32883" w:rsidP="002054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05457">
        <w:rPr>
          <w:rFonts w:ascii="Times New Roman" w:hAnsi="Times New Roman" w:cs="Times New Roman"/>
          <w:b w:val="0"/>
          <w:color w:val="auto"/>
        </w:rPr>
        <w:t>о деятельности Управления финансов Сямженского муниципального района за 2022 год</w:t>
      </w:r>
    </w:p>
    <w:p w:rsidR="00B32883" w:rsidRDefault="00B32883" w:rsidP="00205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690"/>
        <w:gridCol w:w="2126"/>
        <w:gridCol w:w="5502"/>
        <w:gridCol w:w="2797"/>
      </w:tblGrid>
      <w:tr w:rsidR="005B73B7" w:rsidTr="00280EA1">
        <w:tc>
          <w:tcPr>
            <w:tcW w:w="671" w:type="dxa"/>
          </w:tcPr>
          <w:p w:rsidR="00280EA1" w:rsidRDefault="00280EA1" w:rsidP="0028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0" w:type="dxa"/>
          </w:tcPr>
          <w:p w:rsidR="00280EA1" w:rsidRDefault="00280EA1" w:rsidP="0028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280EA1" w:rsidRDefault="00280EA1" w:rsidP="0028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(выполнено/</w:t>
            </w:r>
          </w:p>
          <w:p w:rsidR="00280EA1" w:rsidRDefault="00280EA1" w:rsidP="0028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2" w:type="dxa"/>
          </w:tcPr>
          <w:p w:rsidR="00280EA1" w:rsidRDefault="00280EA1" w:rsidP="0028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достигнутых результатов от реализации мероприятий</w:t>
            </w:r>
          </w:p>
        </w:tc>
        <w:tc>
          <w:tcPr>
            <w:tcW w:w="2797" w:type="dxa"/>
          </w:tcPr>
          <w:p w:rsidR="00280EA1" w:rsidRDefault="00280EA1" w:rsidP="0028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5B73B7" w:rsidTr="00280EA1">
        <w:tc>
          <w:tcPr>
            <w:tcW w:w="671" w:type="dxa"/>
          </w:tcPr>
          <w:p w:rsidR="00280EA1" w:rsidRDefault="00DA28AD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280EA1" w:rsidRDefault="00DA28AD" w:rsidP="00DA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обеспече</w:t>
            </w:r>
            <w:r w:rsidR="008906DF">
              <w:rPr>
                <w:rFonts w:ascii="Times New Roman" w:hAnsi="Times New Roman" w:cs="Times New Roman"/>
                <w:sz w:val="28"/>
                <w:szCs w:val="28"/>
              </w:rPr>
              <w:t>ние принятия Администрацией райо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 основных направлений бюджетной, налоговой и долговой политики Сямженского муниципального округа на 2023 год и плановый период 2023 и 2024 годов</w:t>
            </w:r>
          </w:p>
        </w:tc>
        <w:tc>
          <w:tcPr>
            <w:tcW w:w="2126" w:type="dxa"/>
          </w:tcPr>
          <w:p w:rsidR="00280EA1" w:rsidRDefault="00DA28AD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280EA1" w:rsidRDefault="00DA28AD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налоговой политики Сямженского муниципального округа, долговой политики Сямженского муниципального округа на 2023 год и плановый период 2024 и 2025 годов приняты постановлением администрации Сямженского муниципального района от 24.10.2022г №295</w:t>
            </w:r>
          </w:p>
        </w:tc>
        <w:tc>
          <w:tcPr>
            <w:tcW w:w="2797" w:type="dxa"/>
          </w:tcPr>
          <w:p w:rsidR="00280EA1" w:rsidRDefault="00280EA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B7" w:rsidTr="00280EA1">
        <w:tc>
          <w:tcPr>
            <w:tcW w:w="671" w:type="dxa"/>
          </w:tcPr>
          <w:p w:rsidR="00280EA1" w:rsidRDefault="002C6BD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280EA1" w:rsidRDefault="002C6BD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финансового состояния крупных налогоплательщиков</w:t>
            </w:r>
          </w:p>
        </w:tc>
        <w:tc>
          <w:tcPr>
            <w:tcW w:w="2126" w:type="dxa"/>
          </w:tcPr>
          <w:p w:rsidR="00280EA1" w:rsidRDefault="002C6BDA" w:rsidP="003C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финансового состояния крупных налогоплательщиков и оценка влияния их на доходную базу Сямженского муниципального района осуществляется в течение года на постоянной основе</w:t>
            </w:r>
          </w:p>
        </w:tc>
        <w:tc>
          <w:tcPr>
            <w:tcW w:w="2797" w:type="dxa"/>
          </w:tcPr>
          <w:p w:rsidR="00280EA1" w:rsidRDefault="00280EA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B7" w:rsidTr="00280EA1">
        <w:tc>
          <w:tcPr>
            <w:tcW w:w="671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0" w:type="dxa"/>
          </w:tcPr>
          <w:p w:rsidR="00280EA1" w:rsidRDefault="003C002A" w:rsidP="003C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расчетов по доходной и расходной части бюджета округа на 2023 год и плановый период 2024 и 2025 годов для представления с проектом решения «О бюджете округа на 2023 год и плановый период 2024 и 2025 годов»</w:t>
            </w:r>
          </w:p>
        </w:tc>
        <w:tc>
          <w:tcPr>
            <w:tcW w:w="2126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 изменения базы налогообложения. Оценено влияние на формирование доходной части бюджета  изменений налогового и бюджетного законодательства, а также последствия введения антироссийских санкций.</w:t>
            </w:r>
          </w:p>
        </w:tc>
        <w:tc>
          <w:tcPr>
            <w:tcW w:w="2797" w:type="dxa"/>
          </w:tcPr>
          <w:p w:rsidR="00280EA1" w:rsidRDefault="00280EA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B7" w:rsidTr="00280EA1">
        <w:tc>
          <w:tcPr>
            <w:tcW w:w="671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организация проведения работы по уточнению муниципальных программ и принятие новых</w:t>
            </w:r>
          </w:p>
        </w:tc>
        <w:tc>
          <w:tcPr>
            <w:tcW w:w="2126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280EA1" w:rsidRDefault="003C002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Уточнены действующие в 2022 году муниципальные программы и утверждены новые, вступающие в действие в 2023 году</w:t>
            </w:r>
          </w:p>
        </w:tc>
        <w:tc>
          <w:tcPr>
            <w:tcW w:w="2797" w:type="dxa"/>
          </w:tcPr>
          <w:p w:rsidR="00280EA1" w:rsidRDefault="00280EA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B7" w:rsidTr="00280EA1">
        <w:tc>
          <w:tcPr>
            <w:tcW w:w="671" w:type="dxa"/>
          </w:tcPr>
          <w:p w:rsidR="00280EA1" w:rsidRDefault="004D459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280EA1" w:rsidRDefault="0011028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Представительного Собрания Сямженского муниципального округа на 2023 год и плановый период 2024 и 2025 годов с пакетом документов к нему и обеспечение внесения в Представительное Собрание в установленные сроки</w:t>
            </w:r>
          </w:p>
        </w:tc>
        <w:tc>
          <w:tcPr>
            <w:tcW w:w="2126" w:type="dxa"/>
          </w:tcPr>
          <w:p w:rsidR="00280EA1" w:rsidRDefault="0011028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280EA1" w:rsidRDefault="00110287" w:rsidP="006F2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бюджета округа на 2023 год и плановый период 2024 и 2025 годов осуществлялась в соответствии с планом мероприятий по разработке проекта бюджета округа и прогноза  основных характеристик </w:t>
            </w:r>
            <w:r w:rsidR="006F27F6">
              <w:rPr>
                <w:rFonts w:ascii="Times New Roman" w:hAnsi="Times New Roman" w:cs="Times New Roman"/>
                <w:sz w:val="28"/>
                <w:szCs w:val="28"/>
              </w:rPr>
              <w:t xml:space="preserve">бюджета. Проект бюджета направлен в Представительное Собрание </w:t>
            </w:r>
            <w:proofErr w:type="gramStart"/>
            <w:r w:rsidR="006F27F6">
              <w:rPr>
                <w:rFonts w:ascii="Times New Roman" w:hAnsi="Times New Roman" w:cs="Times New Roman"/>
                <w:sz w:val="28"/>
                <w:szCs w:val="28"/>
              </w:rPr>
              <w:t>15.11.2022г .</w:t>
            </w:r>
            <w:proofErr w:type="gramEnd"/>
            <w:r w:rsidR="006F27F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Представительного Собрания «О бюджете Сямженского округа на 2023</w:t>
            </w:r>
            <w:r w:rsidR="008567B8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2024 и 2025 годов»</w:t>
            </w:r>
            <w:r w:rsidR="005B2646">
              <w:rPr>
                <w:rFonts w:ascii="Times New Roman" w:hAnsi="Times New Roman" w:cs="Times New Roman"/>
                <w:sz w:val="28"/>
                <w:szCs w:val="28"/>
              </w:rPr>
              <w:t xml:space="preserve"> принято 13.12.2022г</w:t>
            </w:r>
          </w:p>
        </w:tc>
        <w:tc>
          <w:tcPr>
            <w:tcW w:w="2797" w:type="dxa"/>
          </w:tcPr>
          <w:p w:rsidR="00280EA1" w:rsidRDefault="00280EA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E3" w:rsidTr="00280EA1">
        <w:tc>
          <w:tcPr>
            <w:tcW w:w="671" w:type="dxa"/>
          </w:tcPr>
          <w:p w:rsidR="000469E3" w:rsidRDefault="000469E3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0469E3" w:rsidRDefault="000469E3" w:rsidP="0004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проекта решения Представительного Собрания Сямженского муниципального округа «О бюджете Сямженского муниципального округа на 2023 год и плановый период 2024 и 2025 годов» и материалов к нему</w:t>
            </w:r>
          </w:p>
        </w:tc>
        <w:tc>
          <w:tcPr>
            <w:tcW w:w="2126" w:type="dxa"/>
          </w:tcPr>
          <w:p w:rsidR="000469E3" w:rsidRDefault="000469E3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0469E3" w:rsidRDefault="000469E3" w:rsidP="0004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«О бюджете Сямженского муниципального округа на 2023 год и плановый период 2024 и 2025 годов» размещен на официальном сайте Администрации Сямженского муниципального района в разделе «Управление финансов» - «Открытый бюджет» - «Бюджет для граждан»</w:t>
            </w:r>
          </w:p>
        </w:tc>
        <w:tc>
          <w:tcPr>
            <w:tcW w:w="2797" w:type="dxa"/>
          </w:tcPr>
          <w:p w:rsidR="000469E3" w:rsidRDefault="000469E3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B7" w:rsidTr="00280EA1">
        <w:tc>
          <w:tcPr>
            <w:tcW w:w="671" w:type="dxa"/>
          </w:tcPr>
          <w:p w:rsidR="00280EA1" w:rsidRDefault="001B04D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280EA1" w:rsidRDefault="0042290B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условий соглашений с Департаментом финансов </w:t>
            </w:r>
            <w:r w:rsidR="00FF1086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</w:tc>
        <w:tc>
          <w:tcPr>
            <w:tcW w:w="2126" w:type="dxa"/>
          </w:tcPr>
          <w:p w:rsidR="00280EA1" w:rsidRDefault="007664E5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280EA1" w:rsidRDefault="001B04D2" w:rsidP="001B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мониторинг за исполнением условий соглашений по социально-экономическому развитию и оздоровлению муниципальных финансов. Отчеты в установленные сроки направлены в Департамент финансов Вологодской области. Условия соглашений по итогам 2022 года выполнены в полном объеме.</w:t>
            </w:r>
          </w:p>
        </w:tc>
        <w:tc>
          <w:tcPr>
            <w:tcW w:w="2797" w:type="dxa"/>
          </w:tcPr>
          <w:p w:rsidR="00280EA1" w:rsidRDefault="00280EA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B7" w:rsidTr="00280EA1">
        <w:tc>
          <w:tcPr>
            <w:tcW w:w="671" w:type="dxa"/>
          </w:tcPr>
          <w:p w:rsidR="00280EA1" w:rsidRDefault="000F7438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280EA1" w:rsidRDefault="000F7438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ежемесячных прогнозов поступления собственных доходов в бюджет района</w:t>
            </w:r>
          </w:p>
        </w:tc>
        <w:tc>
          <w:tcPr>
            <w:tcW w:w="2126" w:type="dxa"/>
          </w:tcPr>
          <w:p w:rsidR="00280EA1" w:rsidRDefault="000F7438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280EA1" w:rsidRDefault="000F7438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Прогнозы поступления налоговых и неналоговых доходов в бюджет района составлялись ежемесячно. Данные использовались при составлении кассового плана бюджета района и предельных расходов финансирования расходов бюджета района</w:t>
            </w:r>
          </w:p>
        </w:tc>
        <w:tc>
          <w:tcPr>
            <w:tcW w:w="2797" w:type="dxa"/>
          </w:tcPr>
          <w:p w:rsidR="00280EA1" w:rsidRDefault="00280EA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46" w:rsidTr="00280EA1">
        <w:tc>
          <w:tcPr>
            <w:tcW w:w="671" w:type="dxa"/>
          </w:tcPr>
          <w:p w:rsidR="005B2646" w:rsidRDefault="006A5136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5B2646" w:rsidRDefault="006A5136" w:rsidP="006A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межведомственной рабочей группы по платежам в бюджет и легализации заработной платы</w:t>
            </w:r>
          </w:p>
        </w:tc>
        <w:tc>
          <w:tcPr>
            <w:tcW w:w="2126" w:type="dxa"/>
          </w:tcPr>
          <w:p w:rsidR="005B2646" w:rsidRDefault="006A5136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5B2646" w:rsidRDefault="00774D0A" w:rsidP="002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проведено 12 заседаний межведомственной рабочей группы. Рассмотрено 640 налогоплательщиков с суммой задолженности 6782,8 тыс.руб., погашено в 2022 году </w:t>
            </w:r>
            <w:r w:rsidR="0026790D">
              <w:rPr>
                <w:rFonts w:ascii="Times New Roman" w:hAnsi="Times New Roman" w:cs="Times New Roman"/>
                <w:sz w:val="28"/>
                <w:szCs w:val="28"/>
              </w:rPr>
              <w:t xml:space="preserve">4737,2 тыс.руб. По вопросу легализации «серой» заработной платы 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0D">
              <w:rPr>
                <w:rFonts w:ascii="Times New Roman" w:hAnsi="Times New Roman" w:cs="Times New Roman"/>
                <w:sz w:val="28"/>
                <w:szCs w:val="28"/>
              </w:rPr>
              <w:t>126 работодателей, в результате 578 гражданам повышена заработная плата. В ходе проведенных мероприятий в бюджет района дополнительно поступило 2998,3 тыс. руб.</w:t>
            </w:r>
          </w:p>
        </w:tc>
        <w:tc>
          <w:tcPr>
            <w:tcW w:w="2797" w:type="dxa"/>
          </w:tcPr>
          <w:p w:rsidR="005B2646" w:rsidRDefault="005B2646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46" w:rsidTr="00280EA1">
        <w:tc>
          <w:tcPr>
            <w:tcW w:w="671" w:type="dxa"/>
          </w:tcPr>
          <w:p w:rsidR="005B2646" w:rsidRDefault="009A50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5B2646" w:rsidRDefault="009A50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ведение сводной бюджетной росписи, лимитов бюджетных обязательств, предельных объемов финансирования, кассового плана</w:t>
            </w:r>
          </w:p>
        </w:tc>
        <w:tc>
          <w:tcPr>
            <w:tcW w:w="2126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F436F7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F6573C" w:rsidRDefault="005872A8" w:rsidP="00F6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лимиты бюджетных обязательств предельные объемы финансирования,</w:t>
            </w:r>
            <w:r w:rsidR="00F6573C">
              <w:rPr>
                <w:rFonts w:ascii="Times New Roman" w:hAnsi="Times New Roman" w:cs="Times New Roman"/>
                <w:sz w:val="28"/>
                <w:szCs w:val="28"/>
              </w:rPr>
              <w:t xml:space="preserve"> кассовый план составлены до начала бюджетного года, уточнялись в течение отчетного периода в связи с принятием решений Представительного Собрания с связи с внесением изменений в решение о бюджете и по основаниям, установленным бюджетным законодательством. </w:t>
            </w:r>
          </w:p>
          <w:p w:rsidR="005B2646" w:rsidRDefault="00F6573C" w:rsidP="00F6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контроль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исполнением  сводной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росписи , лимитов бюджетных обязательств, предельных объемов финансирования, кассового плана осуществлялось постоянно.</w:t>
            </w:r>
          </w:p>
        </w:tc>
        <w:tc>
          <w:tcPr>
            <w:tcW w:w="2797" w:type="dxa"/>
          </w:tcPr>
          <w:p w:rsidR="005B2646" w:rsidRDefault="005B2646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46" w:rsidTr="00280EA1">
        <w:tc>
          <w:tcPr>
            <w:tcW w:w="671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расходных обязательств Сямженского муниципального района</w:t>
            </w:r>
          </w:p>
        </w:tc>
        <w:tc>
          <w:tcPr>
            <w:tcW w:w="2126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F436F7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расходных обязательств сформирован и представлен в Департамент финансов Вологодской области в установленные сроки</w:t>
            </w:r>
          </w:p>
        </w:tc>
        <w:tc>
          <w:tcPr>
            <w:tcW w:w="2797" w:type="dxa"/>
          </w:tcPr>
          <w:p w:rsidR="005B2646" w:rsidRDefault="005B2646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46" w:rsidTr="00431B0B">
        <w:trPr>
          <w:trHeight w:val="703"/>
        </w:trPr>
        <w:tc>
          <w:tcPr>
            <w:tcW w:w="671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0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получателями средств бюджета лимитов расходных обязательств, ежемесячных предельных объемов финансирования</w:t>
            </w:r>
          </w:p>
        </w:tc>
        <w:tc>
          <w:tcPr>
            <w:tcW w:w="2126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5B2646" w:rsidRDefault="00F436F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получателями средств бюджета лимитов расходных обязательств, ежемесячных предельных объемов финансирования осуществляется при проведении расходов бюджетополучателей на лицевых счетах, открытых в Управлении финансов</w:t>
            </w:r>
          </w:p>
        </w:tc>
        <w:tc>
          <w:tcPr>
            <w:tcW w:w="2797" w:type="dxa"/>
          </w:tcPr>
          <w:p w:rsidR="005B2646" w:rsidRDefault="005B2646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46" w:rsidTr="00280EA1">
        <w:tc>
          <w:tcPr>
            <w:tcW w:w="671" w:type="dxa"/>
          </w:tcPr>
          <w:p w:rsidR="005B2646" w:rsidRDefault="00431B0B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5B2646" w:rsidRDefault="00431B0B" w:rsidP="0043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использования главными распорядителями средств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района,  средств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из областного и федерального бюджетов, имеющих целевое назначение</w:t>
            </w:r>
          </w:p>
        </w:tc>
        <w:tc>
          <w:tcPr>
            <w:tcW w:w="2126" w:type="dxa"/>
          </w:tcPr>
          <w:p w:rsidR="005B2646" w:rsidRDefault="005B73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B73B7" w:rsidRDefault="005B73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5B2646" w:rsidRDefault="00431B0B" w:rsidP="0043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контроль за целевыми средствами. В 2022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7170F1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  <w:proofErr w:type="gramEnd"/>
            <w:r w:rsidR="007170F1">
              <w:rPr>
                <w:rFonts w:ascii="Times New Roman" w:hAnsi="Times New Roman" w:cs="Times New Roman"/>
                <w:sz w:val="28"/>
                <w:szCs w:val="28"/>
              </w:rPr>
              <w:t xml:space="preserve"> 299,4 млн.руб. Освоение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0F1">
              <w:rPr>
                <w:rFonts w:ascii="Times New Roman" w:hAnsi="Times New Roman" w:cs="Times New Roman"/>
                <w:sz w:val="28"/>
                <w:szCs w:val="28"/>
              </w:rPr>
              <w:t>составило 99,6%.</w:t>
            </w:r>
          </w:p>
        </w:tc>
        <w:tc>
          <w:tcPr>
            <w:tcW w:w="2797" w:type="dxa"/>
          </w:tcPr>
          <w:p w:rsidR="005B2646" w:rsidRDefault="005B2646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0B" w:rsidTr="00280EA1">
        <w:tc>
          <w:tcPr>
            <w:tcW w:w="671" w:type="dxa"/>
          </w:tcPr>
          <w:p w:rsidR="00431B0B" w:rsidRDefault="005B73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:rsidR="00431B0B" w:rsidRDefault="005B73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норматива формирования расходов на оплату труда в органах местного самоуправления</w:t>
            </w:r>
          </w:p>
        </w:tc>
        <w:tc>
          <w:tcPr>
            <w:tcW w:w="2126" w:type="dxa"/>
          </w:tcPr>
          <w:p w:rsidR="00431B0B" w:rsidRDefault="005B73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B73B7" w:rsidRDefault="005B73B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31B0B" w:rsidRDefault="005B73B7" w:rsidP="005B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 соблюдения норматива формирования расходов на оплату труда в органах местного самоуправления района за 2022 год. Превышение норматива не выявлено.</w:t>
            </w:r>
          </w:p>
        </w:tc>
        <w:tc>
          <w:tcPr>
            <w:tcW w:w="2797" w:type="dxa"/>
          </w:tcPr>
          <w:p w:rsidR="00431B0B" w:rsidRDefault="00431B0B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0B" w:rsidTr="00280EA1">
        <w:tc>
          <w:tcPr>
            <w:tcW w:w="671" w:type="dxa"/>
          </w:tcPr>
          <w:p w:rsidR="00431B0B" w:rsidRDefault="00FD74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0" w:type="dxa"/>
          </w:tcPr>
          <w:p w:rsidR="00431B0B" w:rsidRDefault="00FD74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экономии, образовавшейся по результатам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126" w:type="dxa"/>
          </w:tcPr>
          <w:p w:rsidR="00431B0B" w:rsidRDefault="00FD74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FD7490" w:rsidRDefault="00FD74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31B0B" w:rsidRDefault="00FD74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2022 год экономия бюджетных средств по результатам проведения конкурсных пр</w:t>
            </w:r>
            <w:r w:rsidR="00230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цедур </w:t>
            </w:r>
            <w:r w:rsidRPr="00230990">
              <w:rPr>
                <w:rFonts w:ascii="Times New Roman" w:hAnsi="Times New Roman" w:cs="Times New Roman"/>
                <w:sz w:val="28"/>
                <w:szCs w:val="28"/>
              </w:rPr>
              <w:t>составила 8</w:t>
            </w:r>
            <w:r w:rsidR="00230990" w:rsidRPr="002309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30990">
              <w:rPr>
                <w:rFonts w:ascii="Times New Roman" w:hAnsi="Times New Roman" w:cs="Times New Roman"/>
                <w:sz w:val="28"/>
                <w:szCs w:val="28"/>
              </w:rPr>
              <w:t xml:space="preserve"> млн.руб.</w:t>
            </w:r>
          </w:p>
        </w:tc>
        <w:tc>
          <w:tcPr>
            <w:tcW w:w="2797" w:type="dxa"/>
          </w:tcPr>
          <w:p w:rsidR="00431B0B" w:rsidRDefault="00431B0B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0B" w:rsidTr="00280EA1">
        <w:tc>
          <w:tcPr>
            <w:tcW w:w="671" w:type="dxa"/>
          </w:tcPr>
          <w:p w:rsidR="00431B0B" w:rsidRDefault="002309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0" w:type="dxa"/>
          </w:tcPr>
          <w:p w:rsidR="00431B0B" w:rsidRDefault="002309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централизации бюджетного (бухгалтерского) учета и отчетности муниципального сектора</w:t>
            </w:r>
          </w:p>
        </w:tc>
        <w:tc>
          <w:tcPr>
            <w:tcW w:w="2126" w:type="dxa"/>
          </w:tcPr>
          <w:p w:rsidR="00431B0B" w:rsidRDefault="002309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230990" w:rsidRDefault="002309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31B0B" w:rsidRDefault="00230990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повышение качества использования ЕЦИС  в учете казенных, бюджетных и автономных учреждений. Оптимизация учетных функций.</w:t>
            </w:r>
          </w:p>
        </w:tc>
        <w:tc>
          <w:tcPr>
            <w:tcW w:w="2797" w:type="dxa"/>
          </w:tcPr>
          <w:p w:rsidR="00431B0B" w:rsidRDefault="00431B0B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0B" w:rsidTr="00280EA1">
        <w:tc>
          <w:tcPr>
            <w:tcW w:w="671" w:type="dxa"/>
          </w:tcPr>
          <w:p w:rsidR="00431B0B" w:rsidRDefault="005A2BC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0" w:type="dxa"/>
          </w:tcPr>
          <w:p w:rsidR="00431B0B" w:rsidRDefault="005A2BC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годового отчета об исполнении бюджета за 2021 год и представление его в контрольно-счетный орган</w:t>
            </w:r>
          </w:p>
        </w:tc>
        <w:tc>
          <w:tcPr>
            <w:tcW w:w="2126" w:type="dxa"/>
          </w:tcPr>
          <w:p w:rsidR="00431B0B" w:rsidRDefault="005A2BC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A2BC2" w:rsidRDefault="005A2BC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31B0B" w:rsidRDefault="005A2BC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района за 2021 год подготовлен и представлен в контрольно-счетный орган </w:t>
            </w:r>
            <w:r w:rsidR="00D6679C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</w:t>
            </w:r>
          </w:p>
        </w:tc>
        <w:tc>
          <w:tcPr>
            <w:tcW w:w="2797" w:type="dxa"/>
          </w:tcPr>
          <w:p w:rsidR="00431B0B" w:rsidRDefault="00431B0B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0B" w:rsidTr="00280EA1">
        <w:tc>
          <w:tcPr>
            <w:tcW w:w="671" w:type="dxa"/>
          </w:tcPr>
          <w:p w:rsidR="00431B0B" w:rsidRDefault="00D6679C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0" w:type="dxa"/>
          </w:tcPr>
          <w:p w:rsidR="00431B0B" w:rsidRDefault="00D6679C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Представительного Собрания Сямженского муниципального района «Об исполнении бюджета района за 2021 год» и его направление в Представительное Собрание</w:t>
            </w:r>
          </w:p>
        </w:tc>
        <w:tc>
          <w:tcPr>
            <w:tcW w:w="2126" w:type="dxa"/>
          </w:tcPr>
          <w:p w:rsidR="00431B0B" w:rsidRDefault="00D6679C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6679C" w:rsidRDefault="00D6679C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431B0B" w:rsidRDefault="00D6679C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Представительного Собрания Сямженского муниципального района «Об исполнении бюджета района за 2021 год» принято 07.06.2022 №546 </w:t>
            </w:r>
          </w:p>
        </w:tc>
        <w:tc>
          <w:tcPr>
            <w:tcW w:w="2797" w:type="dxa"/>
          </w:tcPr>
          <w:p w:rsidR="00431B0B" w:rsidRDefault="00431B0B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0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финансового обеспечения решений, принятых на градостроительном Совете при Губернаторе Вологодской области</w:t>
            </w:r>
          </w:p>
        </w:tc>
        <w:tc>
          <w:tcPr>
            <w:tcW w:w="2126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 мониторинг финансового обеспечения решений градостроительного Совета. Решения со сроком исполнения 2022 год выполнены в полном объеме.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F9585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0" w:type="dxa"/>
          </w:tcPr>
          <w:p w:rsidR="00C6548A" w:rsidRDefault="00F9585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отчетов муниципальных программ за 2021 год</w:t>
            </w:r>
          </w:p>
        </w:tc>
        <w:tc>
          <w:tcPr>
            <w:tcW w:w="2126" w:type="dxa"/>
          </w:tcPr>
          <w:p w:rsidR="00C6548A" w:rsidRDefault="00F9585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F95852" w:rsidRDefault="00F9585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6548A" w:rsidRDefault="00F95852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подготовка и исполнение отчетов муниципальных программ за 2021 год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0" w:type="dxa"/>
          </w:tcPr>
          <w:p w:rsidR="00C6548A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в системе «Электронный бюджет» соглашений, дополнительных соглашений, отчетности по федеральным и региональным проектам</w:t>
            </w:r>
          </w:p>
        </w:tc>
        <w:tc>
          <w:tcPr>
            <w:tcW w:w="2126" w:type="dxa"/>
          </w:tcPr>
          <w:p w:rsidR="00C6548A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694977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6548A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выполнено согласование в системе «Электронный бюджет»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0" w:type="dxa"/>
          </w:tcPr>
          <w:p w:rsidR="00C6548A" w:rsidRDefault="00694977" w:rsidP="0069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от имени финансового органа на едином портале бюджетной системы РФ</w:t>
            </w:r>
          </w:p>
        </w:tc>
        <w:tc>
          <w:tcPr>
            <w:tcW w:w="2126" w:type="dxa"/>
          </w:tcPr>
          <w:p w:rsidR="00C6548A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694977" w:rsidRDefault="00694977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6548A" w:rsidRDefault="00694977" w:rsidP="0069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и утверждены формуляры для размещения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ЕПБС,в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подсистеме «Электронный бюджет» в рамках исполнения приказа Минфина №243-н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0" w:type="dxa"/>
          </w:tcPr>
          <w:p w:rsidR="00C6548A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</w:t>
            </w:r>
          </w:p>
        </w:tc>
        <w:tc>
          <w:tcPr>
            <w:tcW w:w="2126" w:type="dxa"/>
          </w:tcPr>
          <w:p w:rsidR="00C6548A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143B89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6548A" w:rsidRDefault="00143B8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осуществляется на постоянной основе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0" w:type="dxa"/>
          </w:tcPr>
          <w:p w:rsidR="00C6548A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налоговых расходов Сямженского муниципального района</w:t>
            </w:r>
          </w:p>
        </w:tc>
        <w:tc>
          <w:tcPr>
            <w:tcW w:w="2126" w:type="dxa"/>
          </w:tcPr>
          <w:p w:rsidR="00C6548A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143B89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6548A" w:rsidRDefault="00143B89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 утвержден распоряжением Управления финансов Сямженского муниципального района от 07.02.2020 №6-р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7E0AE3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0" w:type="dxa"/>
          </w:tcPr>
          <w:p w:rsidR="00C6548A" w:rsidRDefault="007E0AE3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контрольной деятельности </w:t>
            </w:r>
          </w:p>
        </w:tc>
        <w:tc>
          <w:tcPr>
            <w:tcW w:w="2126" w:type="dxa"/>
          </w:tcPr>
          <w:p w:rsidR="00C6548A" w:rsidRDefault="007E0AE3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5502" w:type="dxa"/>
          </w:tcPr>
          <w:p w:rsidR="00C6548A" w:rsidRDefault="007E0AE3" w:rsidP="007E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E3">
              <w:rPr>
                <w:rFonts w:ascii="Times New Roman" w:hAnsi="Times New Roman" w:cs="Times New Roman"/>
                <w:sz w:val="28"/>
                <w:szCs w:val="28"/>
              </w:rPr>
              <w:t>Всего за 2022 год Управлением финансов Сямженского муниципального района проведено 8 контрольных мероприятий, по результатам которых выдано 5 представлений. Общий объем проверенных средств составил – 57399,06 тыс. руб., выявлено нарушений на сумму 71,5 тыс. руб.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8A" w:rsidTr="00280EA1">
        <w:tc>
          <w:tcPr>
            <w:tcW w:w="671" w:type="dxa"/>
          </w:tcPr>
          <w:p w:rsidR="00C6548A" w:rsidRDefault="0076270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0" w:type="dxa"/>
          </w:tcPr>
          <w:p w:rsidR="00C6548A" w:rsidRDefault="00762701" w:rsidP="0076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общедоступной информации об исполнении бюджета района</w:t>
            </w:r>
          </w:p>
        </w:tc>
        <w:tc>
          <w:tcPr>
            <w:tcW w:w="2126" w:type="dxa"/>
          </w:tcPr>
          <w:p w:rsidR="00C6548A" w:rsidRDefault="0076270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62701" w:rsidRDefault="0076270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6548A" w:rsidRDefault="00762701" w:rsidP="0076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официальном сайте Администрации Сямженского муниципального района</w:t>
            </w:r>
          </w:p>
        </w:tc>
        <w:tc>
          <w:tcPr>
            <w:tcW w:w="2797" w:type="dxa"/>
          </w:tcPr>
          <w:p w:rsidR="00C6548A" w:rsidRDefault="00C6548A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01" w:rsidTr="00280EA1">
        <w:tc>
          <w:tcPr>
            <w:tcW w:w="671" w:type="dxa"/>
          </w:tcPr>
          <w:p w:rsidR="00762701" w:rsidRDefault="0076270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0" w:type="dxa"/>
          </w:tcPr>
          <w:p w:rsidR="00762701" w:rsidRDefault="00762701" w:rsidP="0076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кадрового состава Управления финансов </w:t>
            </w:r>
          </w:p>
        </w:tc>
        <w:tc>
          <w:tcPr>
            <w:tcW w:w="2126" w:type="dxa"/>
          </w:tcPr>
          <w:p w:rsidR="00762701" w:rsidRDefault="0076270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62701" w:rsidRDefault="0076270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762701" w:rsidRDefault="00C01E51" w:rsidP="0076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курсах, семинарах прошел 1 муниципальный служащий</w:t>
            </w:r>
          </w:p>
        </w:tc>
        <w:tc>
          <w:tcPr>
            <w:tcW w:w="2797" w:type="dxa"/>
          </w:tcPr>
          <w:p w:rsidR="00762701" w:rsidRDefault="00762701" w:rsidP="0020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2A7" w:rsidRPr="008906DF" w:rsidRDefault="00CB42A7" w:rsidP="00205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EA1" w:rsidRPr="00CB42A7" w:rsidRDefault="00CB42A7" w:rsidP="00205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2A7">
        <w:rPr>
          <w:rFonts w:ascii="Times New Roman" w:hAnsi="Times New Roman" w:cs="Times New Roman"/>
          <w:sz w:val="20"/>
          <w:szCs w:val="20"/>
        </w:rPr>
        <w:t xml:space="preserve"> Исп. </w:t>
      </w:r>
      <w:proofErr w:type="spellStart"/>
      <w:r w:rsidRPr="00CB42A7">
        <w:rPr>
          <w:rFonts w:ascii="Times New Roman" w:hAnsi="Times New Roman" w:cs="Times New Roman"/>
          <w:sz w:val="20"/>
          <w:szCs w:val="20"/>
        </w:rPr>
        <w:t>Самохвалова</w:t>
      </w:r>
      <w:proofErr w:type="spellEnd"/>
      <w:r w:rsidRPr="00CB42A7">
        <w:rPr>
          <w:rFonts w:ascii="Times New Roman" w:hAnsi="Times New Roman" w:cs="Times New Roman"/>
          <w:sz w:val="20"/>
          <w:szCs w:val="20"/>
        </w:rPr>
        <w:t xml:space="preserve"> Н.Н.</w:t>
      </w:r>
    </w:p>
    <w:p w:rsidR="00CB42A7" w:rsidRPr="00CB42A7" w:rsidRDefault="00CB42A7" w:rsidP="002054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42A7">
        <w:rPr>
          <w:rFonts w:ascii="Times New Roman" w:hAnsi="Times New Roman" w:cs="Times New Roman"/>
          <w:sz w:val="20"/>
          <w:szCs w:val="20"/>
        </w:rPr>
        <w:t xml:space="preserve">8817-52-21636 </w:t>
      </w:r>
      <w:r w:rsidRPr="00CB42A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CB42A7">
        <w:rPr>
          <w:rFonts w:ascii="Times New Roman" w:hAnsi="Times New Roman" w:cs="Times New Roman"/>
          <w:sz w:val="20"/>
          <w:szCs w:val="20"/>
        </w:rPr>
        <w:t>40</w:t>
      </w:r>
      <w:r w:rsidRPr="00CB42A7">
        <w:rPr>
          <w:rFonts w:ascii="Times New Roman" w:hAnsi="Times New Roman" w:cs="Times New Roman"/>
          <w:sz w:val="20"/>
          <w:szCs w:val="20"/>
          <w:lang w:val="en-US"/>
        </w:rPr>
        <w:t>@3516.ru</w:t>
      </w:r>
    </w:p>
    <w:sectPr w:rsidR="00CB42A7" w:rsidRPr="00CB42A7" w:rsidSect="00280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2228"/>
    <w:multiLevelType w:val="hybridMultilevel"/>
    <w:tmpl w:val="7EF29E4A"/>
    <w:lvl w:ilvl="0" w:tplc="1FBE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883"/>
    <w:rsid w:val="000469E3"/>
    <w:rsid w:val="000F7438"/>
    <w:rsid w:val="00110287"/>
    <w:rsid w:val="00143B89"/>
    <w:rsid w:val="001823F7"/>
    <w:rsid w:val="001B04D2"/>
    <w:rsid w:val="00205457"/>
    <w:rsid w:val="00230990"/>
    <w:rsid w:val="0026790D"/>
    <w:rsid w:val="00280EA1"/>
    <w:rsid w:val="002C6BDA"/>
    <w:rsid w:val="003224C4"/>
    <w:rsid w:val="003C002A"/>
    <w:rsid w:val="0042290B"/>
    <w:rsid w:val="00431B0B"/>
    <w:rsid w:val="004D4592"/>
    <w:rsid w:val="005872A8"/>
    <w:rsid w:val="005A2BC2"/>
    <w:rsid w:val="005B2646"/>
    <w:rsid w:val="005B73B7"/>
    <w:rsid w:val="00694977"/>
    <w:rsid w:val="006A5136"/>
    <w:rsid w:val="006F27F6"/>
    <w:rsid w:val="007170F1"/>
    <w:rsid w:val="00762701"/>
    <w:rsid w:val="007664E5"/>
    <w:rsid w:val="00774D0A"/>
    <w:rsid w:val="007E0AE3"/>
    <w:rsid w:val="008567B8"/>
    <w:rsid w:val="00870EEA"/>
    <w:rsid w:val="008906DF"/>
    <w:rsid w:val="008D4E24"/>
    <w:rsid w:val="009001F8"/>
    <w:rsid w:val="009A50B7"/>
    <w:rsid w:val="00AD573A"/>
    <w:rsid w:val="00B32883"/>
    <w:rsid w:val="00B776E5"/>
    <w:rsid w:val="00C01E51"/>
    <w:rsid w:val="00C10103"/>
    <w:rsid w:val="00C6548A"/>
    <w:rsid w:val="00CB42A7"/>
    <w:rsid w:val="00D6679C"/>
    <w:rsid w:val="00DA28AD"/>
    <w:rsid w:val="00F436F7"/>
    <w:rsid w:val="00F43B61"/>
    <w:rsid w:val="00F6573C"/>
    <w:rsid w:val="00F95852"/>
    <w:rsid w:val="00FD7490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473-05C3-4403-85CF-13CD2C2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03"/>
  </w:style>
  <w:style w:type="paragraph" w:styleId="1">
    <w:name w:val="heading 1"/>
    <w:basedOn w:val="a"/>
    <w:next w:val="a"/>
    <w:link w:val="10"/>
    <w:uiPriority w:val="9"/>
    <w:qFormat/>
    <w:rsid w:val="00B32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24C4"/>
    <w:pPr>
      <w:ind w:left="720"/>
      <w:contextualSpacing/>
    </w:pPr>
  </w:style>
  <w:style w:type="table" w:styleId="a4">
    <w:name w:val="Table Grid"/>
    <w:basedOn w:val="a1"/>
    <w:uiPriority w:val="59"/>
    <w:rsid w:val="00280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7312-0D82-4273-ABF5-6EA84BE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2023-05-31T11:39:00Z</cp:lastPrinted>
  <dcterms:created xsi:type="dcterms:W3CDTF">2023-05-30T08:49:00Z</dcterms:created>
  <dcterms:modified xsi:type="dcterms:W3CDTF">2023-05-31T11:40:00Z</dcterms:modified>
</cp:coreProperties>
</file>