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60BFD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F92830">
              <w:t xml:space="preserve"> 254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3D246A">
                    <w:rPr>
                      <w:kern w:val="2"/>
                      <w:szCs w:val="28"/>
                    </w:rPr>
                    <w:t>35:13:0305002:147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517583">
        <w:rPr>
          <w:szCs w:val="28"/>
        </w:rPr>
        <w:t>площадью 2127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3D246A">
        <w:rPr>
          <w:szCs w:val="28"/>
        </w:rPr>
        <w:t>35:13:0305002:147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 сел</w:t>
      </w:r>
      <w:r w:rsidR="00E229AA">
        <w:rPr>
          <w:szCs w:val="28"/>
        </w:rPr>
        <w:t>о</w:t>
      </w:r>
      <w:r w:rsidR="003D246A">
        <w:rPr>
          <w:szCs w:val="28"/>
        </w:rPr>
        <w:t xml:space="preserve"> Сямжа</w:t>
      </w:r>
      <w:r>
        <w:rPr>
          <w:szCs w:val="28"/>
        </w:rPr>
        <w:t xml:space="preserve"> - «</w:t>
      </w:r>
      <w:r w:rsidR="003D246A">
        <w:rPr>
          <w:szCs w:val="28"/>
        </w:rPr>
        <w:t>Гражданское кладбище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3D246A">
        <w:rPr>
          <w:szCs w:val="28"/>
        </w:rPr>
        <w:t>вания – «Ритуальная деятельность</w:t>
      </w:r>
      <w:r w:rsidR="00E229AA">
        <w:rPr>
          <w:szCs w:val="28"/>
        </w:rPr>
        <w:t xml:space="preserve">» (код </w:t>
      </w:r>
      <w:r w:rsidR="003D246A">
        <w:rPr>
          <w:szCs w:val="28"/>
        </w:rPr>
        <w:t>12</w:t>
      </w:r>
      <w:r w:rsidR="00573044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FD" w:rsidRDefault="00860BFD" w:rsidP="00C14624">
      <w:r>
        <w:separator/>
      </w:r>
    </w:p>
  </w:endnote>
  <w:endnote w:type="continuationSeparator" w:id="0">
    <w:p w:rsidR="00860BFD" w:rsidRDefault="00860BF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FD" w:rsidRDefault="00860BFD" w:rsidP="00C14624">
      <w:r>
        <w:separator/>
      </w:r>
    </w:p>
  </w:footnote>
  <w:footnote w:type="continuationSeparator" w:id="0">
    <w:p w:rsidR="00860BFD" w:rsidRDefault="00860BF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92830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0BFD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92830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63</cp:revision>
  <cp:lastPrinted>2024-04-26T10:51:00Z</cp:lastPrinted>
  <dcterms:created xsi:type="dcterms:W3CDTF">2023-02-01T11:43:00Z</dcterms:created>
  <dcterms:modified xsi:type="dcterms:W3CDTF">2024-04-26T10:52:00Z</dcterms:modified>
</cp:coreProperties>
</file>